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10365"/>
      </w:tblGrid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Temat zajęć edukacyjnych</w:t>
            </w:r>
          </w:p>
        </w:tc>
        <w:tc>
          <w:tcPr>
            <w:tcW w:w="10365" w:type="dxa"/>
          </w:tcPr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</w:rPr>
              <w:t>Osiągnięcia ucznia:</w:t>
            </w: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 prawna. Przepis prawa</w:t>
            </w:r>
          </w:p>
        </w:tc>
        <w:tc>
          <w:tcPr>
            <w:tcW w:w="10365" w:type="dxa"/>
          </w:tcPr>
          <w:p w:rsidR="000E4D2E" w:rsidRPr="001E54B5" w:rsidRDefault="000E4D2E" w:rsidP="00635E29">
            <w:pPr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1E54B5">
              <w:rPr>
                <w:rFonts w:ascii="Arial" w:hAnsi="Arial" w:cs="Arial"/>
                <w:b/>
                <w:sz w:val="20"/>
                <w:u w:val="single"/>
              </w:rPr>
              <w:t>Pojecie prawa, normy prawnej, przepisu prawa; oceny:</w:t>
            </w:r>
          </w:p>
          <w:p w:rsidR="000E4D2E" w:rsidRDefault="000E4D2E" w:rsidP="000E4D2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1E54B5">
              <w:rPr>
                <w:rFonts w:ascii="Arial" w:hAnsi="Arial" w:cs="Arial"/>
                <w:b/>
                <w:sz w:val="20"/>
              </w:rPr>
              <w:t>dopuszczający:</w:t>
            </w:r>
            <w:r>
              <w:rPr>
                <w:rFonts w:ascii="Arial" w:hAnsi="Arial" w:cs="Arial"/>
                <w:sz w:val="20"/>
              </w:rPr>
              <w:t xml:space="preserve"> uczeń zna pojęcia prawa, normy prawnej, przepisu prawa, innych norm postępowania, prawa zwyczajowego i stanowionego; podaje elementy budowy normy prawnej, kryteria podziału norm prawnych, rodzaje przepisów prawnych;</w:t>
            </w:r>
          </w:p>
          <w:p w:rsidR="000E4D2E" w:rsidRDefault="000E4D2E" w:rsidP="000E4D2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1E54B5">
              <w:rPr>
                <w:rFonts w:ascii="Arial" w:hAnsi="Arial" w:cs="Arial"/>
                <w:b/>
                <w:sz w:val="20"/>
              </w:rPr>
              <w:t xml:space="preserve">dostateczny: </w:t>
            </w:r>
            <w:r>
              <w:rPr>
                <w:rFonts w:ascii="Arial" w:hAnsi="Arial" w:cs="Arial"/>
                <w:sz w:val="20"/>
              </w:rPr>
              <w:t>uczeń charakteryzuje ww. pojęcia;</w:t>
            </w:r>
          </w:p>
          <w:p w:rsidR="000E4D2E" w:rsidRDefault="000E4D2E" w:rsidP="000E4D2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1E54B5">
              <w:rPr>
                <w:rFonts w:ascii="Arial" w:hAnsi="Arial" w:cs="Arial"/>
                <w:b/>
                <w:sz w:val="20"/>
              </w:rPr>
              <w:t>dobry:</w:t>
            </w:r>
            <w:r>
              <w:rPr>
                <w:rFonts w:ascii="Arial" w:hAnsi="Arial" w:cs="Arial"/>
                <w:sz w:val="20"/>
              </w:rPr>
              <w:t xml:space="preserve"> uczeń charakteryzuje związki między pojęciami, potrafi je określić na podstawie prostych przykładów</w:t>
            </w:r>
          </w:p>
          <w:p w:rsidR="000E4D2E" w:rsidRDefault="000E4D2E" w:rsidP="000E4D2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1E54B5">
              <w:rPr>
                <w:rFonts w:ascii="Arial" w:hAnsi="Arial" w:cs="Arial"/>
                <w:b/>
                <w:sz w:val="20"/>
              </w:rPr>
              <w:t>bardzo dobry:</w:t>
            </w:r>
            <w:r>
              <w:rPr>
                <w:rFonts w:ascii="Arial" w:hAnsi="Arial" w:cs="Arial"/>
                <w:sz w:val="20"/>
              </w:rPr>
              <w:t xml:space="preserve"> uczeń samodzielnie podaje dziedziny życia regulowane różnymi systemami normatywnymi </w:t>
            </w:r>
          </w:p>
          <w:p w:rsidR="000E4D2E" w:rsidRDefault="000E4D2E" w:rsidP="000E4D2E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1E54B5">
              <w:rPr>
                <w:rFonts w:ascii="Arial" w:hAnsi="Arial" w:cs="Arial"/>
                <w:b/>
                <w:sz w:val="20"/>
              </w:rPr>
              <w:t>celujący:</w:t>
            </w:r>
            <w:r>
              <w:rPr>
                <w:rFonts w:ascii="Arial" w:hAnsi="Arial" w:cs="Arial"/>
                <w:sz w:val="20"/>
              </w:rPr>
              <w:t xml:space="preserve"> uczeń omawia również normy </w:t>
            </w:r>
            <w:proofErr w:type="spellStart"/>
            <w:r>
              <w:rPr>
                <w:rFonts w:ascii="Arial" w:hAnsi="Arial" w:cs="Arial"/>
                <w:sz w:val="20"/>
              </w:rPr>
              <w:t>semiimperatywne</w:t>
            </w:r>
            <w:proofErr w:type="spellEnd"/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Praworządność. Stosowanie prawa</w:t>
            </w:r>
          </w:p>
        </w:tc>
        <w:tc>
          <w:tcPr>
            <w:tcW w:w="10365" w:type="dxa"/>
          </w:tcPr>
          <w:p w:rsidR="000E4D2E" w:rsidRDefault="000E4D2E" w:rsidP="00635E29">
            <w:pPr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</w:t>
            </w:r>
            <w:r w:rsidRPr="001E54B5">
              <w:rPr>
                <w:rFonts w:ascii="Arial" w:hAnsi="Arial" w:cs="Arial"/>
                <w:b/>
                <w:sz w:val="20"/>
                <w:u w:val="single"/>
              </w:rPr>
              <w:t>ojecie praworządności, organy czuwające nad zapewnieniem praworządności, pojecie i etapy stosowania prawa: oceny:</w:t>
            </w:r>
          </w:p>
          <w:p w:rsidR="000E4D2E" w:rsidRPr="001E54B5" w:rsidRDefault="000E4D2E" w:rsidP="000E4D2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CA0C2E">
              <w:rPr>
                <w:rFonts w:ascii="Arial" w:hAnsi="Arial" w:cs="Arial"/>
                <w:b/>
                <w:sz w:val="20"/>
              </w:rPr>
              <w:t>dopuszczający:</w:t>
            </w:r>
            <w:r>
              <w:rPr>
                <w:rFonts w:ascii="Arial" w:hAnsi="Arial" w:cs="Arial"/>
                <w:sz w:val="20"/>
              </w:rPr>
              <w:t xml:space="preserve"> uczeń zna pojecie praworządności, wymienia organy czuwające nad zapewnieniem praworządności, wymienia etapy stosowania prawa</w:t>
            </w:r>
          </w:p>
          <w:p w:rsidR="000E4D2E" w:rsidRDefault="000E4D2E" w:rsidP="000E4D2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A0C2E">
              <w:rPr>
                <w:rFonts w:ascii="Arial" w:hAnsi="Arial" w:cs="Arial"/>
                <w:b/>
                <w:sz w:val="20"/>
              </w:rPr>
              <w:t>dostateczny</w:t>
            </w:r>
            <w:r>
              <w:rPr>
                <w:rFonts w:ascii="Arial" w:hAnsi="Arial" w:cs="Arial"/>
                <w:sz w:val="20"/>
              </w:rPr>
              <w:t>: uczeń podaje znaczenie ww. pojąć</w:t>
            </w:r>
          </w:p>
          <w:p w:rsidR="000E4D2E" w:rsidRDefault="000E4D2E" w:rsidP="000E4D2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A0C2E">
              <w:rPr>
                <w:rFonts w:ascii="Arial" w:hAnsi="Arial" w:cs="Arial"/>
                <w:b/>
                <w:sz w:val="20"/>
              </w:rPr>
              <w:t>dobry:</w:t>
            </w:r>
            <w:r>
              <w:rPr>
                <w:rFonts w:ascii="Arial" w:hAnsi="Arial" w:cs="Arial"/>
                <w:sz w:val="20"/>
              </w:rPr>
              <w:t xml:space="preserve"> uczeń określa znaczenie praworządności, charakteryzuje na podstawie podanego przykładu etapy stosowania prawa</w:t>
            </w:r>
          </w:p>
          <w:p w:rsidR="000E4D2E" w:rsidRDefault="000E4D2E" w:rsidP="000E4D2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A0C2E">
              <w:rPr>
                <w:rFonts w:ascii="Arial" w:hAnsi="Arial" w:cs="Arial"/>
                <w:b/>
                <w:sz w:val="20"/>
              </w:rPr>
              <w:t>bardzo dobry</w:t>
            </w:r>
            <w:r>
              <w:rPr>
                <w:rFonts w:ascii="Arial" w:hAnsi="Arial" w:cs="Arial"/>
                <w:sz w:val="20"/>
              </w:rPr>
              <w:t>: uczeń charakteryzuje instytucje czuwające nad przestrzeganiem praworządności, samodzielnie omawia tematykę zająć na podstawie przygotowanych przez siebie przykładów</w:t>
            </w:r>
          </w:p>
          <w:p w:rsidR="000E4D2E" w:rsidRDefault="000E4D2E" w:rsidP="000E4D2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</w:rPr>
            </w:pPr>
            <w:r w:rsidRPr="00CA0C2E">
              <w:rPr>
                <w:rFonts w:ascii="Arial" w:hAnsi="Arial" w:cs="Arial"/>
                <w:b/>
                <w:sz w:val="20"/>
              </w:rPr>
              <w:t>celujący:</w:t>
            </w:r>
            <w:r>
              <w:rPr>
                <w:rFonts w:ascii="Arial" w:hAnsi="Arial" w:cs="Arial"/>
                <w:sz w:val="20"/>
              </w:rPr>
              <w:t xml:space="preserve"> uczeń potraf i ocenić praworządność w Polsce, podaje własne propozycje poprawy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Stosunek prawny. Zdarzenie prawne</w:t>
            </w:r>
          </w:p>
        </w:tc>
        <w:tc>
          <w:tcPr>
            <w:tcW w:w="10365" w:type="dxa"/>
          </w:tcPr>
          <w:p w:rsidR="000E4D2E" w:rsidRPr="00CA0C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CA0C2E">
              <w:rPr>
                <w:rFonts w:ascii="Arial" w:hAnsi="Arial" w:cs="Arial"/>
                <w:b/>
                <w:u w:val="single"/>
              </w:rPr>
              <w:t>ojecie i elementy stosunku prawnego, pojęcie i rodzaje zdarzeń prawnych, prawo podmiotowe, rodzaje praw podmiotowych, uprawnienie, roszczenie;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podaje przykłady stosunków społecznych, w tym prawnych; zna omawiane pojęcia i próbuje określić prawa i obowiązki stron;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definiuje pojęcia, podaje prawa i obowiązki stron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charakteryzuje elementy stosunku prawnego i podział zdarzeń prawnych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charakteryzuje samodzielnie stosunek prawny na podstawie wzoru umowy; określa znaczenie praw podmiotowych i roszczeń w życiu społecznym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omawia samodzielnie konsekwencje więzi prawnych, dyskutuje na ten temat, nawiązując do historii prawa, np. w państwie hitlerowskim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Wykładnia prawa</w:t>
            </w:r>
          </w:p>
        </w:tc>
        <w:tc>
          <w:tcPr>
            <w:tcW w:w="10365" w:type="dxa"/>
          </w:tcPr>
          <w:p w:rsidR="000E4D2E" w:rsidRPr="00CA0C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CA0C2E">
              <w:rPr>
                <w:rFonts w:ascii="Arial" w:hAnsi="Arial" w:cs="Arial"/>
                <w:b/>
                <w:u w:val="single"/>
              </w:rPr>
              <w:t>ojecie i rodzaje oraz znaczenie wykładni prawa;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pojęcie i cel wykładni prawa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definiuje wykładnię prawa i klasyfikuje jej rodzaje na podstawie prostych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samodzielnie określa rodzaje wykładni oraz jej znaczenie na podstawie innych niż podręcznikowe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analizuje wyrok sądu lub orzeczenie SN z pomocą nauczyciela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celujący</w:t>
            </w:r>
            <w:r>
              <w:rPr>
                <w:rFonts w:ascii="Arial" w:hAnsi="Arial" w:cs="Arial"/>
              </w:rPr>
              <w:t>: uczeń samodzielnie analizuje wyrok sądu lub orzeczenie SN, charakteryzuje rodzaje wykładni nie omawiane w podręczniku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i gałęzie prawa</w:t>
            </w:r>
          </w:p>
        </w:tc>
        <w:tc>
          <w:tcPr>
            <w:tcW w:w="10365" w:type="dxa"/>
          </w:tcPr>
          <w:p w:rsidR="000E4D2E" w:rsidRPr="00CA0C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 w:rsidRPr="00CA0C2E">
              <w:rPr>
                <w:rFonts w:ascii="Arial" w:hAnsi="Arial" w:cs="Arial"/>
                <w:b/>
                <w:u w:val="single"/>
              </w:rPr>
              <w:t>Pojęcie systemu prawa, podział prawa na gałęzie i jego znaczenie;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pojecie systemu prawa, wymienia gałęzie prawa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zna kryterium podziału prawa na gałęzie, charakteryzuje wybrane gałęzie prawa według podręcznika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dostrzega problem stosowania różnych gałęzi prawa w określonej sytuacji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przygotowuje również referat na temat wybranej instytucji prawnej, której nie omówiono w podręczniku w ramach danej gałęzi prawa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biegle posługuje się pojęciami z przygotowanego przez siebie referatu - tematyka jw. 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Źródła prawa</w:t>
            </w:r>
          </w:p>
        </w:tc>
        <w:tc>
          <w:tcPr>
            <w:tcW w:w="10365" w:type="dxa"/>
          </w:tcPr>
          <w:p w:rsidR="000E4D2E" w:rsidRPr="00CA0C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CA0C2E">
              <w:rPr>
                <w:rFonts w:ascii="Arial" w:hAnsi="Arial" w:cs="Arial"/>
                <w:b/>
                <w:u w:val="single"/>
              </w:rPr>
              <w:t>ojecie źródła prawa, aktu normatywnego, hierarchia źródeł prawa, charakterystyka źródeł prawa, przede wszystkim powszechnie obowiązujących, ogłaszanie, obowiązywanie w czasie i przestrzeni, pojęcie i znaczenie nowelizacji, tekstu jednolitego, inkorporacji, kodeksu;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podstawowe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definiuje pojęcia, rozwiązuje proste przykłady charakteryzujące źródła prawa oraz ich obowiązywanie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omawia zależności między różnymi źródłami prawa, samodzielnie wyszukuje przykłady z dzienników urzędowych 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charakteryzuje również znaczenie prawa wspólnotowego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samodzielnie ocenia znaczenie wybranego i scharakteryzowanego przez siebie źródła prawa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fizyczna i prawna</w:t>
            </w:r>
          </w:p>
        </w:tc>
        <w:tc>
          <w:tcPr>
            <w:tcW w:w="10365" w:type="dxa"/>
          </w:tcPr>
          <w:p w:rsidR="000E4D2E" w:rsidRPr="00CA0C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CA0C2E">
              <w:rPr>
                <w:rFonts w:ascii="Arial" w:hAnsi="Arial" w:cs="Arial"/>
                <w:b/>
                <w:u w:val="single"/>
              </w:rPr>
              <w:t>ojęcie osoby fizycznej i prawnej, zdolność prawna, zdolność do czynności prawnych, podział osób prawnych;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pojęcia, określa swój status w świetle prawa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wskazuje różnice między osobą fizyczną i prawną, z pomocą nauczyciela rozwiązuje przykłady na temat skutków prawnych działania ludzi i jednostek organizacyjnych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samodzielnie rozwiązuje przykłady na ww. temat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samodzielnie interpretuje przepisy k.c. na temat osób fizycznych i prawnych, podając przykłady „z życia”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porównuje w samodzielnie przygotowanej pracy status prawny współcześnie i z wybranej epoki w historii prawa; analizuje orzeczenia SN, prace naukowe itd. 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Czynność prawna</w:t>
            </w:r>
          </w:p>
        </w:tc>
        <w:tc>
          <w:tcPr>
            <w:tcW w:w="10365" w:type="dxa"/>
          </w:tcPr>
          <w:p w:rsidR="000E4D2E" w:rsidRPr="00CA0C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CA0C2E">
              <w:rPr>
                <w:rFonts w:ascii="Arial" w:hAnsi="Arial" w:cs="Arial"/>
                <w:b/>
                <w:u w:val="single"/>
              </w:rPr>
              <w:t>ojęcie, rodzaje, warunki ważności i skutki czynności prawnej;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na zajęciach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 xml:space="preserve">dostateczny: </w:t>
            </w:r>
            <w:r>
              <w:rPr>
                <w:rFonts w:ascii="Arial" w:hAnsi="Arial" w:cs="Arial"/>
              </w:rPr>
              <w:t xml:space="preserve">uczeń charakteryzuje ww. pojęcia na podstawie prostych przykładów 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dostrzega i charakteryzuje związki między omawianymi pojęciami, samodzielnie rozwiązuje przykłady, również „z życia”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CA0C2E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rozwija omawiane zagadnienia, przygotowując referat na temat wybranej instytucji prawnej z zakresu omawianej problematyki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przedstawia wszechstronną charakterystyką wybranej czynności prawnej, np. umowy nie przewidzianej w materiale lekcji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Przedstawicielstwo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895E2F">
              <w:rPr>
                <w:rFonts w:ascii="Arial" w:hAnsi="Arial" w:cs="Arial"/>
                <w:b/>
                <w:u w:val="single"/>
              </w:rPr>
              <w:t>ojęcie, rodzaje i skutki prawne przedstawicielstwa;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na zajęciach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rozumie omawiane pojęcia, rozwiązuje proste przykłady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dostrzega, na podstawie wzorów pism i innych przykładów, związki między omawianymi pojęciami, określa skutki prawne czynności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dobry</w:t>
            </w:r>
            <w:r>
              <w:rPr>
                <w:rFonts w:ascii="Arial" w:hAnsi="Arial" w:cs="Arial"/>
              </w:rPr>
              <w:t>: uczeń samodzielnie interpretuje poznawane pojęcia, posługując się tekstem kodeksu cywilnego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charakteryzuje również instytucję prokury na podstawie kodeksu cywilnego i kodeksu spółek handlowych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Przedawnienie roszczeń i obliczanie terminów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</w:t>
            </w:r>
            <w:r w:rsidRPr="00895E2F">
              <w:rPr>
                <w:rFonts w:ascii="Arial" w:hAnsi="Arial" w:cs="Arial"/>
                <w:b/>
                <w:u w:val="single"/>
              </w:rPr>
              <w:t>stota, terminy przedawnienia i jego znaczenie w obrocie prawnym, zasady obliczania terminów w prawie cywilnym;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omawia pojęcia, rozwiązuje proste przykłady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charakteryzuje konsekwencje przedawnienia, samodzielnie oblicza terminy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dobry</w:t>
            </w:r>
            <w:r>
              <w:rPr>
                <w:rFonts w:ascii="Arial" w:hAnsi="Arial" w:cs="Arial"/>
              </w:rPr>
              <w:t>: uczeń charakteryzuje problematyką przedawnienia na podstawie kazusu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uwzględnia również przedawnienie w prawie podatkowym i karnym oraz instytucją terminu zawitego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Rzeczy i ich podział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895E2F">
              <w:rPr>
                <w:rFonts w:ascii="Arial" w:hAnsi="Arial" w:cs="Arial"/>
                <w:b/>
                <w:u w:val="single"/>
              </w:rPr>
              <w:t>rzedmiot prawa rzeczowego jako działu prawa cywilnego, pojęcie i rodzaje rzeczy, inne przedmioty stosunków prawnych;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charakteryzuje omawiane pojęcia, rozwiązuje proste przykłady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dostrzega związki między omawianymi pojęciami, samodzielnie rozwiązuje przykłady 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charakteryzuje również pożytki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charakteryzuje wszechstronnie np. problematykę nieruchomości, wykorzystując przykład aktu notarialnego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Własność jako prawo rzeczowe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Pr="00895E2F">
              <w:rPr>
                <w:rFonts w:ascii="Arial" w:hAnsi="Arial" w:cs="Arial"/>
                <w:b/>
                <w:u w:val="single"/>
              </w:rPr>
              <w:t>iejsce prawa własności wśród innych praw rzeczowych, uprawnienia właściciela i granice ich wykonywania, nabycie i utrata własności, współwłasność, ochrona własności, własność a posiadanie;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 xml:space="preserve">dostateczny: </w:t>
            </w:r>
            <w:r>
              <w:rPr>
                <w:rFonts w:ascii="Arial" w:hAnsi="Arial" w:cs="Arial"/>
              </w:rPr>
              <w:t>uczeń charakteryzuje omawiane pojęcia, rozumie je na podstawie prostych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porównuje prawa rzeczowe uwzględniając zakres uprawnień, zna również regulacje innych gałęzi prawa na temat własności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dobry</w:t>
            </w:r>
            <w:r>
              <w:rPr>
                <w:rFonts w:ascii="Arial" w:hAnsi="Arial" w:cs="Arial"/>
              </w:rPr>
              <w:t>: uczeń interpretuje wzory umów przenoszące własność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potraf i również scharakteryzować rozwój własności w różnych epokach historycznych, także w innych krajach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Użytkowanie wieczyste. </w:t>
            </w:r>
            <w:r>
              <w:rPr>
                <w:rFonts w:ascii="Arial" w:hAnsi="Arial" w:cs="Arial"/>
                <w:sz w:val="20"/>
              </w:rPr>
              <w:br/>
              <w:t>Prawa rzeczowe ograniczone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</w:t>
            </w:r>
            <w:r w:rsidRPr="00895E2F">
              <w:rPr>
                <w:rFonts w:ascii="Arial" w:hAnsi="Arial" w:cs="Arial"/>
                <w:b/>
                <w:u w:val="single"/>
              </w:rPr>
              <w:t>harakterystyka pozostałych praw rzeczowych, znaczenie ksiąg wieczystych;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klasyfikuje pozostałe prawa rzeczowe i zna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charakteryzuje pojęcia, rozwiązuje proste przykłady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interpretuje poznawane zagadnienia na podstawie wzorów dokumentów, np. aktów notarialnych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formułuje omawiane prawa rzeczowe na podstawie wzorów dokumentów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4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zna również zagadnienia związane z ewidencją gruntów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Pojęcie, podział i źródła zobowiązań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895E2F">
              <w:rPr>
                <w:rFonts w:ascii="Arial" w:hAnsi="Arial" w:cs="Arial"/>
                <w:b/>
                <w:u w:val="single"/>
              </w:rPr>
              <w:t>ojęcie i znaczenie prawa zobowiązaniowego, pojęcie i elementy zobowiązania, rodzaje zobowiązań i znaczenie tego podziału;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rozwiązuje proste przykłady sprawdzające rozumienie poznanych pojąć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określa znaczenie zobowiązań w życiu społeczno-gospodarczym, interpretuje pojęcia na podstawie wzorów umów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5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doby:</w:t>
            </w:r>
            <w:r>
              <w:rPr>
                <w:rFonts w:ascii="Arial" w:hAnsi="Arial" w:cs="Arial"/>
              </w:rPr>
              <w:t xml:space="preserve"> uczeń samodzielnie rozwiązuje proste problemy prawne związane np. z odpowiedzialnością dłużnika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5"/>
              </w:numPr>
              <w:spacing w:before="40" w:after="4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celujący: uczeń charakteryzuje orzecznictwo SN na omawiane tematy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Odpowiedzialność cywilna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895E2F">
              <w:rPr>
                <w:rFonts w:ascii="Arial" w:hAnsi="Arial" w:cs="Arial"/>
                <w:b/>
                <w:u w:val="single"/>
              </w:rPr>
              <w:t>ojęcie i rodzaje odpowiedzialności cywilnej, szkoda, wina i inne zasady odpowiedzialności cywilnej;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rozumie poznawane pojęcia na podstawie prostych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porównuje na podstawie przykładów poznawane pojęcia, charakteryzuje znaczenie odpowiedzialności cywilnej w życiu społeczno-gospodarczym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biegle posługuje się wiadomościami przy omawianiu przykładów „z życia”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6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895E2F">
              <w:rPr>
                <w:rFonts w:ascii="Arial" w:hAnsi="Arial" w:cs="Arial"/>
                <w:b/>
              </w:rPr>
              <w:t>celujący</w:t>
            </w:r>
            <w:r>
              <w:rPr>
                <w:rFonts w:ascii="Arial" w:hAnsi="Arial" w:cs="Arial"/>
              </w:rPr>
              <w:t>: uczeń analizuje orzecznictwo i wykładnie naukową na temat odpowiedzialności cywilnej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Wykonanie i wygaśniecie zobowiązań</w:t>
            </w:r>
          </w:p>
        </w:tc>
        <w:tc>
          <w:tcPr>
            <w:tcW w:w="10365" w:type="dxa"/>
          </w:tcPr>
          <w:p w:rsidR="000E4D2E" w:rsidRPr="00895E2F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Z</w:t>
            </w:r>
            <w:r w:rsidRPr="00895E2F">
              <w:rPr>
                <w:rFonts w:ascii="Arial" w:hAnsi="Arial" w:cs="Arial"/>
                <w:b/>
                <w:u w:val="single"/>
              </w:rPr>
              <w:t>achowanie stron zobowiązania, miejsce i termin wykonania, dodatkowe zastrzeżenia umowne, skutki niewykonania, zdarzenia powodujące wygaśniecie zobowiązań;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rozumie pojęcia rozwiązując proste przykłady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wykazuje związki między pojęciami, interpretuje wzory umów, kazusy itp.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stosuje zdobytą wiedzę w samodzielnym konstruowaniu wzorów umów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7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omawia orzecznictwo SN na temat omawianych zagadnień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 spadkowe</w:t>
            </w:r>
          </w:p>
        </w:tc>
        <w:tc>
          <w:tcPr>
            <w:tcW w:w="10365" w:type="dxa"/>
          </w:tcPr>
          <w:p w:rsidR="000E4D2E" w:rsidRPr="00D9011A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</w:t>
            </w:r>
            <w:r w:rsidRPr="00D9011A">
              <w:rPr>
                <w:rFonts w:ascii="Arial" w:hAnsi="Arial" w:cs="Arial"/>
                <w:b/>
                <w:u w:val="single"/>
              </w:rPr>
              <w:t>ziedziczenie i jego rodzaje, dział spadku;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dopuszczający</w:t>
            </w:r>
            <w:r>
              <w:rPr>
                <w:rFonts w:ascii="Arial" w:hAnsi="Arial" w:cs="Arial"/>
              </w:rPr>
              <w:t>: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rozwiązuje proste przykłady sprawdzające zrozumienie poznawanych pojąć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dostrzega związki między pojęciami, analizując konkretny stan faktyczny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samodzielnie interpretuje stan faktyczny, samodzielnie sporządza wzór testamentu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8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celujący</w:t>
            </w:r>
            <w:r>
              <w:rPr>
                <w:rFonts w:ascii="Arial" w:hAnsi="Arial" w:cs="Arial"/>
              </w:rPr>
              <w:t>: uczeń omawia orzecznictwo SN na temat prawa spadkowego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 gospodarcze</w:t>
            </w:r>
          </w:p>
        </w:tc>
        <w:tc>
          <w:tcPr>
            <w:tcW w:w="10365" w:type="dxa"/>
          </w:tcPr>
          <w:p w:rsidR="000E4D2E" w:rsidRPr="00D9011A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D9011A">
              <w:rPr>
                <w:rFonts w:ascii="Arial" w:hAnsi="Arial" w:cs="Arial"/>
                <w:b/>
                <w:u w:val="single"/>
              </w:rPr>
              <w:t xml:space="preserve">ojęcie, źródła prawa gospodarczego, firma, papiery wartościowe ze szczególnym uwzględnieniem weksla, podmioty gospodarcze ze szczególnym uwzględnieniem spółek, umowy o działalności gospodarczej; analiza prawa działalności gospodarczej; oceny: 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dopuszczający</w:t>
            </w:r>
            <w:r>
              <w:rPr>
                <w:rFonts w:ascii="Arial" w:hAnsi="Arial" w:cs="Arial"/>
              </w:rPr>
              <w:t>: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uczeń rozumie poznawane pojęcia no podstawie prostych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uczeń analizuje wzór umowy spółki, umowy sprzedaży, najmu i inne, potraf i sporządzić weksel według wzoru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samodzielnie sporządza wzór umowy spółki, analizuje konkretne stany faktyczne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19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celujący</w:t>
            </w:r>
            <w:r>
              <w:rPr>
                <w:rFonts w:ascii="Arial" w:hAnsi="Arial" w:cs="Arial"/>
              </w:rPr>
              <w:t>: uczeń omawia orzecznictwo na tematy z zakresu prawa gospodarczego, stosuje wiedzą ekonomiczną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 pracy</w:t>
            </w:r>
          </w:p>
        </w:tc>
        <w:tc>
          <w:tcPr>
            <w:tcW w:w="10365" w:type="dxa"/>
          </w:tcPr>
          <w:p w:rsidR="000E4D2E" w:rsidRPr="00D9011A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D9011A">
              <w:rPr>
                <w:rFonts w:ascii="Arial" w:hAnsi="Arial" w:cs="Arial"/>
                <w:b/>
                <w:u w:val="single"/>
              </w:rPr>
              <w:t xml:space="preserve">ojęcie, źródła, zasady prawa pracy, stosunek pracy, umowa o pracę, znaczenie umów cywilnoprawnych w prawie pracy, prawa i obowiązki stron stosunku pracy, ochrona wynagrodzenia, ochrona pracy, </w:t>
            </w:r>
            <w:r w:rsidRPr="00D9011A">
              <w:rPr>
                <w:rFonts w:ascii="Arial" w:hAnsi="Arial" w:cs="Arial"/>
                <w:u w:val="single"/>
              </w:rPr>
              <w:t>ubezpieczenia społeczne z uwzględnieniem ubezpieczeń zdrowotnych;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</w:rPr>
              <w:t>dopuszczający:</w:t>
            </w:r>
            <w:r>
              <w:rPr>
                <w:rFonts w:ascii="Arial" w:hAnsi="Arial" w:cs="Arial"/>
              </w:rPr>
              <w:t xml:space="preserve"> uczeń zna omawiane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dostateczny</w:t>
            </w:r>
            <w:r>
              <w:rPr>
                <w:rFonts w:ascii="Arial" w:hAnsi="Arial" w:cs="Arial"/>
              </w:rPr>
              <w:t>: rozumienie pojęć na podstawie prostych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dobry:</w:t>
            </w:r>
            <w:r>
              <w:rPr>
                <w:rFonts w:ascii="Arial" w:hAnsi="Arial" w:cs="Arial"/>
              </w:rPr>
              <w:t xml:space="preserve"> analiza treści umowy o pracą, charakterystyka praw i obowiązków stron stosunku pracy, wypełnianie druków urzędowych (np. ZUS)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sporządzenie wzoru umowy o pracą, analiza konkretnego stanu faktycznego, obliczanie wynagrodzenia itd.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0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omawianie orzecznictwa z zakresu prawa pracy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Postępowanie cywilne</w:t>
            </w:r>
          </w:p>
        </w:tc>
        <w:tc>
          <w:tcPr>
            <w:tcW w:w="10365" w:type="dxa"/>
          </w:tcPr>
          <w:p w:rsidR="000E4D2E" w:rsidRPr="00D9011A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</w:t>
            </w:r>
            <w:r w:rsidRPr="00D9011A">
              <w:rPr>
                <w:rFonts w:ascii="Arial" w:hAnsi="Arial" w:cs="Arial"/>
                <w:b/>
                <w:u w:val="single"/>
              </w:rPr>
              <w:t>truktura wymiaru sprawiedliwości, przebieg postępowania przed sądem I instancji, środki odwoławcze, charakterystyka postępowań odrębnych;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poznawane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zna treść poznawanych pojęć na podstawie prostych przykładów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analizuje treść pism procesowych, sporządza je według wzoru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bardzo dobry</w:t>
            </w:r>
            <w:r>
              <w:rPr>
                <w:rFonts w:ascii="Arial" w:hAnsi="Arial" w:cs="Arial"/>
              </w:rPr>
              <w:t>: uczeń samodzielnie sporządza wzory pism, prognozuje przebieg postępowania w danej sprawie stosując zdobytą wiedzę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1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charakteryzuje orzecznictwo SN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 administracyjne</w:t>
            </w:r>
          </w:p>
        </w:tc>
        <w:tc>
          <w:tcPr>
            <w:tcW w:w="10365" w:type="dxa"/>
          </w:tcPr>
          <w:p w:rsidR="000E4D2E" w:rsidRPr="00D9011A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D9011A">
              <w:rPr>
                <w:rFonts w:ascii="Arial" w:hAnsi="Arial" w:cs="Arial"/>
                <w:b/>
                <w:u w:val="single"/>
              </w:rPr>
              <w:t>rzedmiot działania administracji publicznej, struktura administracji i samorządu terytorialnego, podział administracyjny kraju, formy działania administracji,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dopuszczający</w:t>
            </w:r>
            <w:r>
              <w:rPr>
                <w:rFonts w:ascii="Arial" w:hAnsi="Arial" w:cs="Arial"/>
              </w:rPr>
              <w:t xml:space="preserve">: uczeń zna omawiane pojęcia 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rozwiązuje proste przykłady pozwalające zrozumieć poznawaną problematykę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analizuje treść aktów administracyjnych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sporządza pisma w postępowaniu administracyjnym, prognozuje przebieg postępowania - również przed sądami administracyjnymi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2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D9011A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omawia orzecznictwo dotyczące prawa administracyjnego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rPr>
                <w:rFonts w:ascii="Arial" w:hAnsi="Arial" w:cs="Arial"/>
              </w:rPr>
            </w:pPr>
          </w:p>
        </w:tc>
      </w:tr>
      <w:tr w:rsidR="000E4D2E" w:rsidTr="0063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</w:tcPr>
          <w:p w:rsidR="000E4D2E" w:rsidRDefault="000E4D2E" w:rsidP="00635E29">
            <w:pPr>
              <w:spacing w:before="40" w:after="40"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 finansowe</w:t>
            </w:r>
          </w:p>
        </w:tc>
        <w:tc>
          <w:tcPr>
            <w:tcW w:w="10365" w:type="dxa"/>
          </w:tcPr>
          <w:p w:rsidR="000E4D2E" w:rsidRPr="006E6AB9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ind w:left="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6E6AB9">
              <w:rPr>
                <w:rFonts w:ascii="Arial" w:hAnsi="Arial" w:cs="Arial"/>
                <w:b/>
                <w:u w:val="single"/>
              </w:rPr>
              <w:t>rzedmiot i działy prawa finansowego, prawo podatkowe, postępowanie w sprawach podatkowych; oceny: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6E6AB9">
              <w:rPr>
                <w:rFonts w:ascii="Arial" w:hAnsi="Arial" w:cs="Arial"/>
                <w:b/>
              </w:rPr>
              <w:t>dopuszczający:</w:t>
            </w:r>
            <w:r>
              <w:rPr>
                <w:rFonts w:ascii="Arial" w:hAnsi="Arial" w:cs="Arial"/>
              </w:rPr>
              <w:t xml:space="preserve"> uczeń zna podstawowe pojęcia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6E6AB9">
              <w:rPr>
                <w:rFonts w:ascii="Arial" w:hAnsi="Arial" w:cs="Arial"/>
                <w:b/>
              </w:rPr>
              <w:t>dostateczny:</w:t>
            </w:r>
            <w:r>
              <w:rPr>
                <w:rFonts w:ascii="Arial" w:hAnsi="Arial" w:cs="Arial"/>
              </w:rPr>
              <w:t xml:space="preserve"> uczeń rozwiązuje proste przykłady, m.in. z prawa podatkowego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6E6AB9">
              <w:rPr>
                <w:rFonts w:ascii="Arial" w:hAnsi="Arial" w:cs="Arial"/>
                <w:b/>
              </w:rPr>
              <w:t>dobry</w:t>
            </w:r>
            <w:r>
              <w:rPr>
                <w:rFonts w:ascii="Arial" w:hAnsi="Arial" w:cs="Arial"/>
              </w:rPr>
              <w:t>: uczeń analizuje przykłady pism zwłaszcza z zakresu prawa i postępowania podatkowego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6E6AB9">
              <w:rPr>
                <w:rFonts w:ascii="Arial" w:hAnsi="Arial" w:cs="Arial"/>
                <w:b/>
              </w:rPr>
              <w:t>bardzo dobry:</w:t>
            </w:r>
            <w:r>
              <w:rPr>
                <w:rFonts w:ascii="Arial" w:hAnsi="Arial" w:cs="Arial"/>
              </w:rPr>
              <w:t xml:space="preserve"> uczeń sporządza pismo w postępowaniu podatkowym</w:t>
            </w:r>
          </w:p>
          <w:p w:rsidR="000E4D2E" w:rsidRDefault="000E4D2E" w:rsidP="000E4D2E">
            <w:pPr>
              <w:pStyle w:val="Tekstkomentarza"/>
              <w:numPr>
                <w:ilvl w:val="0"/>
                <w:numId w:val="23"/>
              </w:numPr>
              <w:spacing w:before="40" w:after="40" w:line="200" w:lineRule="exact"/>
              <w:rPr>
                <w:rFonts w:ascii="Arial" w:hAnsi="Arial" w:cs="Arial"/>
              </w:rPr>
            </w:pPr>
            <w:r w:rsidRPr="006E6AB9">
              <w:rPr>
                <w:rFonts w:ascii="Arial" w:hAnsi="Arial" w:cs="Arial"/>
                <w:b/>
              </w:rPr>
              <w:t>celujący:</w:t>
            </w:r>
            <w:r>
              <w:rPr>
                <w:rFonts w:ascii="Arial" w:hAnsi="Arial" w:cs="Arial"/>
              </w:rPr>
              <w:t xml:space="preserve"> uczeń omawia orzecznictwo z zakresu prawa finansowego</w:t>
            </w:r>
          </w:p>
          <w:p w:rsidR="000E4D2E" w:rsidRDefault="000E4D2E" w:rsidP="00635E29">
            <w:pPr>
              <w:pStyle w:val="Tekstkomentarza"/>
              <w:numPr>
                <w:ilvl w:val="0"/>
                <w:numId w:val="0"/>
              </w:numPr>
              <w:spacing w:before="40" w:after="40" w:line="200" w:lineRule="exact"/>
              <w:ind w:left="20"/>
              <w:rPr>
                <w:rFonts w:ascii="Arial" w:hAnsi="Arial" w:cs="Arial"/>
              </w:rPr>
            </w:pPr>
          </w:p>
        </w:tc>
      </w:tr>
    </w:tbl>
    <w:p w:rsidR="000E4D2E" w:rsidRDefault="000E4D2E" w:rsidP="000E4D2E">
      <w:pPr>
        <w:spacing w:before="40" w:after="40"/>
        <w:rPr>
          <w:rFonts w:ascii="Arial" w:hAnsi="Arial" w:cs="Arial"/>
          <w:sz w:val="20"/>
        </w:rPr>
      </w:pPr>
    </w:p>
    <w:p w:rsidR="00CE136B" w:rsidRDefault="00CE136B"/>
    <w:sectPr w:rsidR="00CE1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2E" w:rsidRDefault="000E4D2E" w:rsidP="000E4D2E">
      <w:r>
        <w:separator/>
      </w:r>
    </w:p>
  </w:endnote>
  <w:endnote w:type="continuationSeparator" w:id="1">
    <w:p w:rsidR="000E4D2E" w:rsidRDefault="000E4D2E" w:rsidP="000E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1A" w:rsidRDefault="00DE28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11A" w:rsidRDefault="00DE28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1A" w:rsidRDefault="00DE28E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2E" w:rsidRDefault="000E4D2E" w:rsidP="000E4D2E">
      <w:r>
        <w:separator/>
      </w:r>
    </w:p>
  </w:footnote>
  <w:footnote w:type="continuationSeparator" w:id="1">
    <w:p w:rsidR="000E4D2E" w:rsidRDefault="000E4D2E" w:rsidP="000E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4E3"/>
    <w:multiLevelType w:val="hybridMultilevel"/>
    <w:tmpl w:val="B0346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4C3B"/>
    <w:multiLevelType w:val="hybridMultilevel"/>
    <w:tmpl w:val="721886A8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5750A11"/>
    <w:multiLevelType w:val="hybridMultilevel"/>
    <w:tmpl w:val="DA965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E62"/>
    <w:multiLevelType w:val="hybridMultilevel"/>
    <w:tmpl w:val="E72C0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568"/>
    <w:multiLevelType w:val="hybridMultilevel"/>
    <w:tmpl w:val="25D84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0151B"/>
    <w:multiLevelType w:val="hybridMultilevel"/>
    <w:tmpl w:val="B6FC6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422F"/>
    <w:multiLevelType w:val="hybridMultilevel"/>
    <w:tmpl w:val="8592D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A90"/>
    <w:multiLevelType w:val="hybridMultilevel"/>
    <w:tmpl w:val="A9E2F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52C9"/>
    <w:multiLevelType w:val="hybridMultilevel"/>
    <w:tmpl w:val="5BE00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749F"/>
    <w:multiLevelType w:val="hybridMultilevel"/>
    <w:tmpl w:val="82DE23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C1"/>
    <w:multiLevelType w:val="hybridMultilevel"/>
    <w:tmpl w:val="73BA3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D47F7"/>
    <w:multiLevelType w:val="hybridMultilevel"/>
    <w:tmpl w:val="25A6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A56D5"/>
    <w:multiLevelType w:val="hybridMultilevel"/>
    <w:tmpl w:val="EF6A6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0B4D"/>
    <w:multiLevelType w:val="hybridMultilevel"/>
    <w:tmpl w:val="789A2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752B7"/>
    <w:multiLevelType w:val="hybridMultilevel"/>
    <w:tmpl w:val="D8A84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32417"/>
    <w:multiLevelType w:val="hybridMultilevel"/>
    <w:tmpl w:val="9DAA0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25610"/>
    <w:multiLevelType w:val="singleLevel"/>
    <w:tmpl w:val="3C668BA2"/>
    <w:lvl w:ilvl="0">
      <w:start w:val="1"/>
      <w:numFmt w:val="bullet"/>
      <w:pStyle w:val="Tekstkomentarz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7">
    <w:nsid w:val="7376592A"/>
    <w:multiLevelType w:val="hybridMultilevel"/>
    <w:tmpl w:val="E9D09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E3223"/>
    <w:multiLevelType w:val="hybridMultilevel"/>
    <w:tmpl w:val="49BE9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97F7D"/>
    <w:multiLevelType w:val="hybridMultilevel"/>
    <w:tmpl w:val="478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293F"/>
    <w:multiLevelType w:val="hybridMultilevel"/>
    <w:tmpl w:val="3DDC8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15D72"/>
    <w:multiLevelType w:val="hybridMultilevel"/>
    <w:tmpl w:val="6646F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93C81"/>
    <w:multiLevelType w:val="hybridMultilevel"/>
    <w:tmpl w:val="C3CE2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2"/>
  </w:num>
  <w:num w:numId="5">
    <w:abstractNumId w:val="11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2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20"/>
  </w:num>
  <w:num w:numId="19">
    <w:abstractNumId w:val="4"/>
  </w:num>
  <w:num w:numId="20">
    <w:abstractNumId w:val="17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D2E"/>
    <w:rsid w:val="000E4D2E"/>
    <w:rsid w:val="00CE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E4D2E"/>
    <w:pPr>
      <w:numPr>
        <w:numId w:val="1"/>
      </w:numPr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E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E4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E4D2E"/>
  </w:style>
  <w:style w:type="paragraph" w:styleId="Nagwek">
    <w:name w:val="header"/>
    <w:basedOn w:val="Normalny"/>
    <w:link w:val="NagwekZnak"/>
    <w:uiPriority w:val="99"/>
    <w:semiHidden/>
    <w:unhideWhenUsed/>
    <w:rsid w:val="000E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D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47E1D-4B78-4E6D-AF77-47D9BCD8EFAF}"/>
</file>

<file path=customXml/itemProps2.xml><?xml version="1.0" encoding="utf-8"?>
<ds:datastoreItem xmlns:ds="http://schemas.openxmlformats.org/officeDocument/2006/customXml" ds:itemID="{75C3F6E5-AF47-4D4A-9490-41C3786EAD30}"/>
</file>

<file path=customXml/itemProps3.xml><?xml version="1.0" encoding="utf-8"?>
<ds:datastoreItem xmlns:ds="http://schemas.openxmlformats.org/officeDocument/2006/customXml" ds:itemID="{9EE90C64-614E-4462-9C5D-472F2CE6A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11572</Characters>
  <Application>Microsoft Office Word</Application>
  <DocSecurity>0</DocSecurity>
  <Lines>96</Lines>
  <Paragraphs>26</Paragraphs>
  <ScaleCrop>false</ScaleCrop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2</cp:revision>
  <dcterms:created xsi:type="dcterms:W3CDTF">2013-08-29T20:02:00Z</dcterms:created>
  <dcterms:modified xsi:type="dcterms:W3CDTF">2013-08-29T20:02:00Z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